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53" w:rsidRPr="00C22E53" w:rsidRDefault="00BA3F3F" w:rsidP="00BA3F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BA3F3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34036" cy="8722360"/>
            <wp:effectExtent l="0" t="0" r="635" b="2540"/>
            <wp:docPr id="1" name="Рисунок 1" descr="C:\Users\Чертёжик\Downloads\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тёжик\Downloads\00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42" cy="872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22E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9C3" w:rsidRPr="00C22E53" w:rsidRDefault="005B72A7" w:rsidP="005C27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2E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2E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3"/>
        <w:gridCol w:w="6498"/>
      </w:tblGrid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5C2792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2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83»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Дудкина Анна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Джимовна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5C27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153007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Генерала Горбатова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35CC4" w:rsidP="005C279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(4932) 95-01-83</w:t>
            </w:r>
          </w:p>
        </w:tc>
      </w:tr>
      <w:tr w:rsidR="000579C3" w:rsidRPr="00335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5C279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335CC4" w:rsidP="005C27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dou183</w:t>
            </w:r>
            <w:r w:rsidR="005B72A7"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ivedu</w:t>
            </w:r>
            <w:proofErr w:type="spellEnd"/>
            <w:r w:rsidR="005B72A7"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5B72A7" w:rsidP="005C2792">
            <w:pPr>
              <w:jc w:val="both"/>
              <w:rPr>
                <w:lang w:val="ru-RU"/>
              </w:rPr>
            </w:pP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335CC4" w:rsidP="005C27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города Иванова</w:t>
            </w:r>
          </w:p>
        </w:tc>
      </w:tr>
      <w:tr w:rsidR="000579C3" w:rsidRPr="00335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5B72A7" w:rsidP="005C2792">
            <w:pPr>
              <w:jc w:val="both"/>
              <w:rPr>
                <w:lang w:val="ru-RU"/>
              </w:rPr>
            </w:pP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5B72A7" w:rsidP="005C2792">
            <w:pPr>
              <w:jc w:val="both"/>
              <w:rPr>
                <w:lang w:val="ru-RU"/>
              </w:rPr>
            </w:pP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1978 год</w:t>
            </w:r>
          </w:p>
        </w:tc>
      </w:tr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5B72A7" w:rsidP="005C2792">
            <w:pPr>
              <w:jc w:val="both"/>
              <w:rPr>
                <w:lang w:val="ru-RU"/>
              </w:rPr>
            </w:pP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35CC4" w:rsidRDefault="005B72A7" w:rsidP="005C2792">
            <w:pPr>
              <w:jc w:val="both"/>
              <w:rPr>
                <w:lang w:val="ru-RU"/>
              </w:rPr>
            </w:pP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15.08</w:t>
            </w: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2151</w:t>
            </w: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335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2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0001703 регистрационный номер лицензии № Л035-01225-37/00228630</w:t>
            </w:r>
          </w:p>
        </w:tc>
      </w:tr>
    </w:tbl>
    <w:p w:rsidR="000579C3" w:rsidRPr="005B72A7" w:rsidRDefault="005B72A7" w:rsidP="005C27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C2792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79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5C2792">
        <w:rPr>
          <w:rFonts w:hAnsi="Times New Roman" w:cs="Times New Roman"/>
          <w:color w:val="000000"/>
          <w:sz w:val="24"/>
          <w:szCs w:val="24"/>
          <w:lang w:val="ru-RU"/>
        </w:rPr>
        <w:t xml:space="preserve"> 1161,5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5C2792" w:rsidRPr="005C279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5C2792">
        <w:rPr>
          <w:rFonts w:hAnsi="Times New Roman" w:cs="Times New Roman"/>
          <w:color w:val="000000"/>
          <w:sz w:val="24"/>
          <w:szCs w:val="24"/>
          <w:lang w:val="ru-RU"/>
        </w:rPr>
        <w:t>, 742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579C3" w:rsidRPr="005B72A7" w:rsidRDefault="005B72A7" w:rsidP="005C27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0579C3" w:rsidRPr="005B72A7" w:rsidRDefault="005B72A7" w:rsidP="005C27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6:00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</w:t>
      </w:r>
      <w:proofErr w:type="gram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579C3" w:rsidRPr="005B72A7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579C3" w:rsidRPr="006620CF" w:rsidRDefault="005B72A7" w:rsidP="006620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6620CF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20CF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6620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20C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6620CF"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группа компенсирующей направленности для детей с ТНР (12 детей) 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20C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6620C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620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20C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579C3" w:rsidRDefault="006620CF" w:rsidP="006620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младшая</w:t>
      </w:r>
      <w:proofErr w:type="spellEnd"/>
      <w:r w:rsidR="005B72A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B72A7">
        <w:rPr>
          <w:rFonts w:hAnsi="Times New Roman" w:cs="Times New Roman"/>
          <w:color w:val="000000"/>
          <w:sz w:val="24"/>
          <w:szCs w:val="24"/>
        </w:rPr>
        <w:t> —  </w:t>
      </w:r>
      <w:r>
        <w:rPr>
          <w:rFonts w:hAnsi="Times New Roman" w:cs="Times New Roman"/>
          <w:color w:val="000000"/>
          <w:sz w:val="24"/>
          <w:szCs w:val="24"/>
        </w:rPr>
        <w:t>21 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="005B72A7">
        <w:rPr>
          <w:rFonts w:hAnsi="Times New Roman" w:cs="Times New Roman"/>
          <w:color w:val="000000"/>
          <w:sz w:val="24"/>
          <w:szCs w:val="24"/>
        </w:rPr>
        <w:t>;</w:t>
      </w:r>
    </w:p>
    <w:p w:rsidR="000579C3" w:rsidRDefault="005B72A7" w:rsidP="006620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20CF">
        <w:rPr>
          <w:rFonts w:hAnsi="Times New Roman" w:cs="Times New Roman"/>
          <w:color w:val="000000"/>
          <w:sz w:val="24"/>
          <w:szCs w:val="24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9C3" w:rsidRDefault="005B72A7" w:rsidP="006620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20CF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9C3" w:rsidRPr="005B72A7" w:rsidRDefault="005B72A7" w:rsidP="006620C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20CF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579C3" w:rsidRPr="005B72A7" w:rsidRDefault="005B72A7" w:rsidP="00AA4E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P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Детского сада, например</w:t>
      </w:r>
      <w:r w:rsidRPr="00BA3F3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проводить осенние и</w:t>
      </w:r>
      <w:r w:rsidRPr="00BA3F3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на</w:t>
      </w:r>
      <w:r w:rsidRPr="00BA3F3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открытом воздухе совместно с</w:t>
      </w:r>
      <w:r w:rsidRPr="00BA3F3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A3F3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родителями. 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22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ежегодный анализ состава семей воспитанников.</w:t>
      </w:r>
    </w:p>
    <w:p w:rsidR="000579C3" w:rsidRDefault="005B72A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83,5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15,3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1,2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4E622D" w:rsidRDefault="004E622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AA4E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579C3" w:rsidRDefault="005B72A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43,5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DB0672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9B0D18">
            <w:r>
              <w:rPr>
                <w:rFonts w:hAnsi="Times New Roman" w:cs="Times New Roman"/>
                <w:color w:val="000000"/>
                <w:sz w:val="24"/>
                <w:szCs w:val="24"/>
              </w:rPr>
              <w:t>35,3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DB0672" w:rsidRDefault="00DB0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9B0D18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579C3" w:rsidRPr="005B72A7" w:rsidRDefault="005B72A7" w:rsidP="009B0D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579C3" w:rsidRPr="005B72A7" w:rsidRDefault="005B72A7" w:rsidP="009B0D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</w:t>
      </w:r>
      <w:proofErr w:type="gramStart"/>
      <w:r w:rsidR="009B0D18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Ивановской 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</w:t>
      </w:r>
      <w:proofErr w:type="gram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29.01.2024 № 11-р.</w:t>
      </w:r>
    </w:p>
    <w:p w:rsidR="000579C3" w:rsidRPr="005B72A7" w:rsidRDefault="005B72A7" w:rsidP="009B0D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0579C3" w:rsidRPr="005B72A7" w:rsidRDefault="005B72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0579C3" w:rsidRPr="005B72A7" w:rsidRDefault="005B72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0579C3" w:rsidRPr="005B72A7" w:rsidRDefault="005B72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</w:t>
      </w:r>
      <w:r w:rsidR="009B0D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0D18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Трениных стала одной из </w:t>
      </w:r>
      <w:proofErr w:type="spellStart"/>
      <w:r w:rsidR="009B0D18">
        <w:rPr>
          <w:rFonts w:hAnsi="Times New Roman" w:cs="Times New Roman"/>
          <w:color w:val="000000"/>
          <w:sz w:val="24"/>
          <w:szCs w:val="24"/>
          <w:lang w:val="ru-RU"/>
        </w:rPr>
        <w:t>победителй</w:t>
      </w:r>
      <w:proofErr w:type="spellEnd"/>
      <w:r w:rsidR="009B0D18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регионального конкурса семейных сказок.</w:t>
      </w:r>
    </w:p>
    <w:p w:rsidR="000579C3" w:rsidRPr="009B0D18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 w:rsidRPr="009B0D18">
        <w:rPr>
          <w:rFonts w:hAnsi="Times New Roman" w:cs="Times New Roman"/>
          <w:color w:val="000000"/>
          <w:sz w:val="24"/>
          <w:szCs w:val="24"/>
          <w:lang w:val="ru-RU"/>
        </w:rPr>
        <w:t>В рамках него предусмотрели микро форматы участия:</w:t>
      </w:r>
    </w:p>
    <w:p w:rsidR="000579C3" w:rsidRPr="005B72A7" w:rsidRDefault="005B72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0579C3" w:rsidRPr="005B72A7" w:rsidRDefault="005B72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0579C3" w:rsidRPr="005B72A7" w:rsidRDefault="005B72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дополнительные общеразвивающие программы реализовались по 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"/>
        <w:gridCol w:w="2042"/>
        <w:gridCol w:w="1642"/>
        <w:gridCol w:w="984"/>
        <w:gridCol w:w="902"/>
        <w:gridCol w:w="807"/>
        <w:gridCol w:w="967"/>
        <w:gridCol w:w="1017"/>
      </w:tblGrid>
      <w:tr w:rsidR="000579C3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0579C3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Хрустальный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Физкультурно-оздоровительное</w:t>
            </w:r>
            <w:proofErr w:type="spellEnd"/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Дельфиненок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C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ручеек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2025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0579C3" w:rsidRPr="005B72A7" w:rsidRDefault="005B7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579C3" w:rsidRPr="005B72A7" w:rsidRDefault="005B7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03"/>
      </w:tblGrid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79C3" w:rsidRDefault="005B72A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9C3" w:rsidRDefault="005B72A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9C3" w:rsidRDefault="005B72A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579C3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9C3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9C3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9C3" w:rsidRPr="005B72A7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579C3" w:rsidRPr="005B72A7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579C3" w:rsidRPr="005B72A7" w:rsidRDefault="005B72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579C3" w:rsidRDefault="005B72A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579C3" w:rsidRPr="00BA3F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579C3" w:rsidRPr="005B72A7" w:rsidRDefault="005B72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579C3" w:rsidRPr="005B72A7" w:rsidRDefault="005B72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579C3" w:rsidRPr="005B72A7" w:rsidRDefault="005B72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579C3" w:rsidRPr="005B72A7" w:rsidRDefault="005B72A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деятельности управляющего совета учтены Методические рекомендации из письма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0579C3" w:rsidRPr="005B72A7" w:rsidRDefault="005B7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579C3" w:rsidRDefault="005B72A7" w:rsidP="0039464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9C3" w:rsidRPr="005B72A7" w:rsidRDefault="005B72A7" w:rsidP="003946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0579C3" w:rsidRDefault="005B72A7" w:rsidP="003946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9C3" w:rsidRDefault="005B72A7" w:rsidP="0039464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79C3" w:rsidRPr="005B72A7" w:rsidRDefault="005B72A7" w:rsidP="003946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9"/>
        <w:gridCol w:w="671"/>
        <w:gridCol w:w="574"/>
        <w:gridCol w:w="665"/>
        <w:gridCol w:w="570"/>
        <w:gridCol w:w="680"/>
        <w:gridCol w:w="458"/>
        <w:gridCol w:w="665"/>
        <w:gridCol w:w="2109"/>
      </w:tblGrid>
      <w:tr w:rsidR="000579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>
            <w:pPr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C22E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C22E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C22E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394646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394646" w:rsidRDefault="005B72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  <w:r w:rsidR="00394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4D4809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4D4809" w:rsidRDefault="005B72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 w:rsidR="004D4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4D480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4D4809"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4D4809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4D4809" w:rsidRDefault="004D48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</w:tbl>
    <w:p w:rsidR="000579C3" w:rsidRPr="005B72A7" w:rsidRDefault="004D4809" w:rsidP="003946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,,</w:t>
      </w:r>
      <w:proofErr w:type="gramEnd"/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5B72A7">
        <w:rPr>
          <w:rFonts w:hAnsi="Times New Roman" w:cs="Times New Roman"/>
          <w:color w:val="000000"/>
          <w:sz w:val="24"/>
          <w:szCs w:val="24"/>
        </w:rPr>
        <w:t> </w:t>
      </w:r>
      <w:r w:rsidR="005B72A7" w:rsidRPr="005B72A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579C3" w:rsidRPr="005B72A7" w:rsidRDefault="005B7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579C3" w:rsidRPr="005B72A7" w:rsidRDefault="005B72A7" w:rsidP="004D480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579C3" w:rsidRPr="005B72A7" w:rsidRDefault="005B72A7" w:rsidP="004D480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579C3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9C3" w:rsidRPr="005B72A7" w:rsidRDefault="005B72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579C3" w:rsidRPr="005B72A7" w:rsidRDefault="005B72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579C3" w:rsidRPr="005B72A7" w:rsidRDefault="005B72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579C3" w:rsidRPr="005B72A7" w:rsidRDefault="005B72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579C3" w:rsidRPr="005B72A7" w:rsidRDefault="005B72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0579C3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В для реализации электронного и дистанционного обучения используется функционал ФГИС «Моя школа».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9C3" w:rsidRPr="005B72A7" w:rsidRDefault="005B72A7" w:rsidP="004D480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 методические материалы;</w:t>
      </w:r>
    </w:p>
    <w:p w:rsidR="000579C3" w:rsidRPr="005B72A7" w:rsidRDefault="005B72A7" w:rsidP="004D480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создавать персональные и групповые онлайн-коммуникации, включая чаты и видеоконференции;</w:t>
      </w:r>
    </w:p>
    <w:p w:rsidR="000579C3" w:rsidRPr="005B72A7" w:rsidRDefault="005B72A7" w:rsidP="004D480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онлайн-трансляции занятий с возможностью массовых просмотров и комментирования;</w:t>
      </w:r>
    </w:p>
    <w:p w:rsidR="000579C3" w:rsidRPr="005B72A7" w:rsidRDefault="005B72A7" w:rsidP="004D480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направлять и получать уведомления о событиях в рамках образовательного процесса.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</w:t>
      </w:r>
      <w:r w:rsidR="004D4809">
        <w:rPr>
          <w:rFonts w:hAnsi="Times New Roman" w:cs="Times New Roman"/>
          <w:color w:val="000000"/>
          <w:sz w:val="24"/>
          <w:szCs w:val="24"/>
          <w:lang w:val="ru-RU"/>
        </w:rPr>
        <w:t>поступил 1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4809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proofErr w:type="spellStart"/>
      <w:r w:rsidR="004D4809">
        <w:rPr>
          <w:rFonts w:hAnsi="Times New Roman" w:cs="Times New Roman"/>
          <w:color w:val="000000"/>
          <w:sz w:val="24"/>
          <w:szCs w:val="24"/>
          <w:lang w:val="ru-RU"/>
        </w:rPr>
        <w:t>семеи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48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детьми, оказавшимися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0579C3" w:rsidRPr="005B72A7" w:rsidRDefault="005B72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629. Созданы специальные условия для получения образования воспитанниками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 </w:t>
      </w:r>
      <w:r w:rsidR="004D4809">
        <w:rPr>
          <w:rFonts w:hAnsi="Times New Roman" w:cs="Times New Roman"/>
          <w:color w:val="000000"/>
          <w:sz w:val="24"/>
          <w:szCs w:val="24"/>
          <w:lang w:val="ru-RU"/>
        </w:rPr>
        <w:t>с ТНР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9C3" w:rsidRPr="005B72A7" w:rsidRDefault="005B72A7" w:rsidP="004D480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дублируется звуковая справочная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расписании учебных занятий визуальной (установили визуально-акустическое оборудование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возможностью трансляции субтитров);</w:t>
      </w:r>
    </w:p>
    <w:p w:rsidR="000579C3" w:rsidRPr="005B72A7" w:rsidRDefault="005B72A7" w:rsidP="004D480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обеспечили возможность понимания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восприятия детьми инструкций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речевого материала,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тематикой учебных занятий,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также использования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речи;</w:t>
      </w:r>
    </w:p>
    <w:p w:rsidR="000579C3" w:rsidRPr="005B72A7" w:rsidRDefault="005B72A7" w:rsidP="004D480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используются разные формы словесной речи (устной, письменной,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дактильной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) для обеспечения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точности восприятия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организации речевого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процессе учебных занятий.</w:t>
      </w:r>
    </w:p>
    <w:p w:rsidR="000579C3" w:rsidRPr="005B7071" w:rsidRDefault="000579C3">
      <w:pPr>
        <w:rPr>
          <w:lang w:val="ru-RU"/>
        </w:rPr>
      </w:pPr>
    </w:p>
    <w:p w:rsidR="000579C3" w:rsidRPr="005B72A7" w:rsidRDefault="005B72A7" w:rsidP="004D4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11.12.2023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243.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0579C3" w:rsidRPr="005B72A7" w:rsidRDefault="005B7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0F6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870F6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870F6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579C3" w:rsidRDefault="005B72A7" w:rsidP="00C22E5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70F62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579C3" w:rsidRDefault="005B72A7" w:rsidP="00C22E5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3,5/1.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579C3" w:rsidRDefault="005B72A7" w:rsidP="00C22E5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9C3" w:rsidRDefault="005B72A7" w:rsidP="00C22E5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прошли</w:t>
      </w:r>
      <w:r w:rsidR="00870F6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них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0579C3" w:rsidRPr="005B7071" w:rsidRDefault="000579C3" w:rsidP="00C22E53">
      <w:pPr>
        <w:jc w:val="both"/>
        <w:rPr>
          <w:lang w:val="ru-RU"/>
        </w:rPr>
      </w:pP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Для успешной адаптации студентов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рамках региональной целевой модели наставничества.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0579C3" w:rsidRPr="005B72A7" w:rsidRDefault="005B72A7" w:rsidP="00C22E5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0579C3" w:rsidRPr="005B72A7" w:rsidRDefault="005B72A7" w:rsidP="00C22E5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0579C3" w:rsidRPr="005B72A7" w:rsidRDefault="005B72A7" w:rsidP="00C22E5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0579C3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активно сотрудничал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ФГБОУ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«Ульяновский государственный педагогический университет имени 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Ульянова»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работы.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9C3" w:rsidRDefault="005B72A7" w:rsidP="00C22E5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выездном практическом занятие под руководством преподавателя кафедры дошкольного, начального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методик преподавания общеобразовательных дисциплин «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УлГПУ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r>
        <w:rPr>
          <w:rFonts w:hAnsi="Times New Roman" w:cs="Times New Roman"/>
          <w:color w:val="000000"/>
          <w:sz w:val="24"/>
          <w:szCs w:val="24"/>
        </w:rPr>
        <w:t xml:space="preserve">И.Н.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Ульянова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доцента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Феофановой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Алексеевны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25.06.2024;</w:t>
      </w:r>
    </w:p>
    <w:p w:rsidR="000579C3" w:rsidRPr="005B72A7" w:rsidRDefault="005B72A7" w:rsidP="00C22E5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обучились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курсах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формате стажировки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теме: «Формирование основ социальной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дошкольной образовательной 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ноябрь 2024.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B72A7">
        <w:rPr>
          <w:lang w:val="ru-RU"/>
        </w:rPr>
        <w:br/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579C3" w:rsidRPr="005B72A7" w:rsidRDefault="005B72A7" w:rsidP="00C22E5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пополнилось ноутбуком, тремя принтерами, проектором мультимедиа;</w:t>
      </w:r>
    </w:p>
    <w:p w:rsidR="000579C3" w:rsidRPr="005B72A7" w:rsidRDefault="005B72A7" w:rsidP="00C22E5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эффективной реализации 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579C3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физиокабинет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579C3" w:rsidRDefault="005B72A7" w:rsidP="00C22E5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массажный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этажей, медкабинета,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29.01.2024 № 353, был проведен плановый 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Дополнительно приобрели и установили мачту для флага (установили перед входом в здание) и кронштейн для флага настенный (закрепили на боковых сторонах фасада здания).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579C3" w:rsidRPr="005B72A7" w:rsidRDefault="005B72A7" w:rsidP="00C22E5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579C3" w:rsidRPr="005B72A7" w:rsidRDefault="005B72A7" w:rsidP="00C22E5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579C3" w:rsidRPr="005B72A7" w:rsidRDefault="005B72A7" w:rsidP="00C22E5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579C3" w:rsidRPr="005B72A7" w:rsidRDefault="005B72A7" w:rsidP="00C22E5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579C3" w:rsidRPr="005B72A7" w:rsidRDefault="005B72A7" w:rsidP="00C22E5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579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870F62" w:rsidRDefault="00870F62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(13%)</w:t>
            </w: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9C3" w:rsidTr="00870F62">
        <w:trPr>
          <w:trHeight w:val="8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870F62" w:rsidRDefault="00870F62" w:rsidP="00C22E53">
            <w:pPr>
              <w:jc w:val="both"/>
              <w:rPr>
                <w:lang w:val="ru-RU"/>
              </w:rPr>
            </w:pPr>
            <w:r w:rsidRPr="00870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(64%)</w:t>
            </w: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(50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,2</w:t>
            </w:r>
            <w:proofErr w:type="gramEnd"/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870F62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(10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(30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1%)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(30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(32</w:t>
            </w:r>
            <w:r w:rsidR="005B72A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1/9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579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B72A7">
              <w:rPr>
                <w:lang w:val="ru-RU"/>
              </w:rPr>
              <w:br/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C22E53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79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5B72A7" w:rsidP="00C22E53">
            <w:pPr>
              <w:jc w:val="both"/>
              <w:rPr>
                <w:lang w:val="ru-RU"/>
              </w:rPr>
            </w:pP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Pr="005B72A7" w:rsidRDefault="000579C3" w:rsidP="00C22E5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C3" w:rsidRDefault="005B72A7" w:rsidP="00C22E5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579C3" w:rsidRPr="005B72A7" w:rsidRDefault="005B72A7" w:rsidP="00C22E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2A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579C3" w:rsidRPr="005B72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4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F4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05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3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01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E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30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51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31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25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F3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85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C1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80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6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83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0"/>
  </w:num>
  <w:num w:numId="10">
    <w:abstractNumId w:val="17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9C3"/>
    <w:rsid w:val="00245D4C"/>
    <w:rsid w:val="002D33B1"/>
    <w:rsid w:val="002D3591"/>
    <w:rsid w:val="00335CC4"/>
    <w:rsid w:val="003514A0"/>
    <w:rsid w:val="00394646"/>
    <w:rsid w:val="00477F19"/>
    <w:rsid w:val="004D4809"/>
    <w:rsid w:val="004E622D"/>
    <w:rsid w:val="004F7E17"/>
    <w:rsid w:val="005A05CE"/>
    <w:rsid w:val="005B7071"/>
    <w:rsid w:val="005B72A7"/>
    <w:rsid w:val="005C2792"/>
    <w:rsid w:val="00653AF6"/>
    <w:rsid w:val="006620CF"/>
    <w:rsid w:val="006F24DB"/>
    <w:rsid w:val="00870F62"/>
    <w:rsid w:val="009B0D18"/>
    <w:rsid w:val="00AA4E6C"/>
    <w:rsid w:val="00B73A5A"/>
    <w:rsid w:val="00BA3F3F"/>
    <w:rsid w:val="00C22E53"/>
    <w:rsid w:val="00DB06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A61B-56A8-4F7C-BC0A-B206F8B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2E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Чертёжик</cp:lastModifiedBy>
  <cp:revision>4</cp:revision>
  <cp:lastPrinted>2025-04-18T10:38:00Z</cp:lastPrinted>
  <dcterms:created xsi:type="dcterms:W3CDTF">2025-04-18T13:25:00Z</dcterms:created>
  <dcterms:modified xsi:type="dcterms:W3CDTF">2025-04-18T13:29:00Z</dcterms:modified>
</cp:coreProperties>
</file>